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21" w:rsidRDefault="002D2359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D2359">
        <w:rPr>
          <w:rFonts w:ascii="Times New Roman" w:hAnsi="Times New Roman" w:cs="Times New Roman"/>
          <w:b/>
          <w:sz w:val="28"/>
          <w:szCs w:val="28"/>
        </w:rPr>
        <w:t>ГЕЙМАНОВСКОГО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4E21" w:rsidRDefault="00104E21" w:rsidP="00104E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3488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434889">
        <w:rPr>
          <w:rFonts w:ascii="Times New Roman" w:hAnsi="Times New Roman" w:cs="Times New Roman"/>
          <w:sz w:val="28"/>
          <w:szCs w:val="28"/>
        </w:rPr>
        <w:t>______</w:t>
      </w:r>
    </w:p>
    <w:p w:rsidR="00104E21" w:rsidRDefault="002D2359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Геймановская</w:t>
      </w:r>
      <w:proofErr w:type="spellEnd"/>
    </w:p>
    <w:p w:rsidR="00484F33" w:rsidRDefault="00484F33" w:rsidP="004A074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Об утверждении программ</w:t>
      </w:r>
      <w:r>
        <w:rPr>
          <w:b/>
          <w:sz w:val="28"/>
          <w:szCs w:val="28"/>
        </w:rPr>
        <w:t>ы</w:t>
      </w:r>
      <w:r w:rsidRPr="00457F9B">
        <w:rPr>
          <w:b/>
          <w:sz w:val="28"/>
          <w:szCs w:val="28"/>
        </w:rPr>
        <w:t xml:space="preserve"> профилактики рисков </w:t>
      </w: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6652CE" w:rsidRPr="00457F9B" w:rsidRDefault="006652CE" w:rsidP="00BB1EF5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при осуществлении</w:t>
      </w:r>
      <w:r>
        <w:rPr>
          <w:b/>
          <w:sz w:val="28"/>
          <w:szCs w:val="28"/>
        </w:rPr>
        <w:t xml:space="preserve"> </w:t>
      </w:r>
      <w:r w:rsidRPr="00457F9B">
        <w:rPr>
          <w:b/>
          <w:sz w:val="28"/>
          <w:szCs w:val="28"/>
        </w:rPr>
        <w:t xml:space="preserve">муниципального контроля </w:t>
      </w:r>
      <w:bookmarkStart w:id="0" w:name="_Hlk77686366"/>
      <w:r w:rsidR="00BB1EF5" w:rsidRPr="00567818">
        <w:rPr>
          <w:b/>
          <w:bCs/>
          <w:color w:val="000000"/>
          <w:sz w:val="28"/>
          <w:szCs w:val="28"/>
        </w:rPr>
        <w:t xml:space="preserve">на автомобильном транспорте, в дорожном хозяйстве в границах населенных пунктов </w:t>
      </w:r>
      <w:bookmarkEnd w:id="0"/>
      <w:proofErr w:type="spellStart"/>
      <w:r w:rsidR="002D2359">
        <w:rPr>
          <w:b/>
          <w:bCs/>
          <w:color w:val="000000"/>
          <w:sz w:val="28"/>
          <w:szCs w:val="28"/>
        </w:rPr>
        <w:t>Геймановского</w:t>
      </w:r>
      <w:proofErr w:type="spellEnd"/>
      <w:r w:rsidR="00BB1EF5">
        <w:rPr>
          <w:b/>
          <w:bCs/>
          <w:color w:val="000000"/>
          <w:sz w:val="28"/>
          <w:szCs w:val="28"/>
        </w:rPr>
        <w:t xml:space="preserve"> сельского поселения Тбилисского района</w:t>
      </w:r>
      <w:r w:rsidRPr="00457F9B">
        <w:rPr>
          <w:b/>
          <w:sz w:val="28"/>
          <w:szCs w:val="28"/>
        </w:rPr>
        <w:t xml:space="preserve"> на 2022 год</w:t>
      </w:r>
    </w:p>
    <w:p w:rsidR="006652CE" w:rsidRPr="00457F9B" w:rsidRDefault="006652CE" w:rsidP="006652CE">
      <w:pPr>
        <w:jc w:val="center"/>
        <w:rPr>
          <w:b/>
          <w:sz w:val="28"/>
          <w:szCs w:val="28"/>
        </w:rPr>
      </w:pP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Pr="00457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 32 у</w:t>
      </w:r>
      <w:r w:rsidRPr="00457F9B"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spellStart"/>
      <w:r w:rsidR="002D2359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457F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 района,</w:t>
      </w:r>
      <w:r w:rsidRPr="001B1317">
        <w:rPr>
          <w:rFonts w:ascii="Times New Roman" w:hAnsi="Times New Roman" w:cs="Times New Roman"/>
          <w:sz w:val="28"/>
          <w:szCs w:val="28"/>
        </w:rPr>
        <w:t xml:space="preserve"> 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1317">
        <w:rPr>
          <w:rFonts w:ascii="Times New Roman" w:hAnsi="Times New Roman" w:cs="Times New Roman"/>
          <w:sz w:val="28"/>
          <w:szCs w:val="28"/>
        </w:rPr>
        <w:t>:</w:t>
      </w: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1B1317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</w:t>
      </w:r>
      <w:proofErr w:type="gramStart"/>
      <w:r w:rsidRPr="001B1317">
        <w:rPr>
          <w:rFonts w:ascii="Times New Roman" w:hAnsi="Times New Roman" w:cs="Times New Roman"/>
          <w:sz w:val="28"/>
          <w:szCs w:val="28"/>
        </w:rPr>
        <w:t>муниципального  контроля</w:t>
      </w:r>
      <w:proofErr w:type="gramEnd"/>
      <w:r w:rsidRPr="001B1317">
        <w:rPr>
          <w:rFonts w:ascii="Times New Roman" w:hAnsi="Times New Roman" w:cs="Times New Roman"/>
          <w:sz w:val="28"/>
          <w:szCs w:val="28"/>
        </w:rPr>
        <w:t xml:space="preserve"> </w:t>
      </w:r>
      <w:r w:rsidR="00BB1EF5" w:rsidRPr="00BB1E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2D2359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BB1EF5" w:rsidRPr="00BB1E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Тбилисского района</w:t>
      </w:r>
      <w:r w:rsidR="00BB1EF5" w:rsidRPr="001B1317">
        <w:rPr>
          <w:rFonts w:ascii="Times New Roman" w:hAnsi="Times New Roman" w:cs="Times New Roman"/>
          <w:sz w:val="28"/>
          <w:szCs w:val="28"/>
        </w:rPr>
        <w:t xml:space="preserve"> </w:t>
      </w:r>
      <w:r w:rsidRPr="001B1317">
        <w:rPr>
          <w:rFonts w:ascii="Times New Roman" w:hAnsi="Times New Roman" w:cs="Times New Roman"/>
          <w:sz w:val="28"/>
          <w:szCs w:val="28"/>
        </w:rPr>
        <w:t>на 2022 год.</w:t>
      </w:r>
    </w:p>
    <w:p w:rsidR="002D2359" w:rsidRPr="00457F9B" w:rsidRDefault="002D2359" w:rsidP="00DB59FC">
      <w:pPr>
        <w:ind w:firstLine="851"/>
        <w:jc w:val="both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Главному специалисту администрации </w:t>
      </w:r>
      <w:proofErr w:type="spellStart"/>
      <w:r>
        <w:rPr>
          <w:sz w:val="28"/>
          <w:szCs w:val="28"/>
        </w:rPr>
        <w:t>Геймановского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</w:t>
      </w:r>
      <w:proofErr w:type="spellStart"/>
      <w:r>
        <w:rPr>
          <w:sz w:val="28"/>
          <w:szCs w:val="28"/>
        </w:rPr>
        <w:t>Свистуновой</w:t>
      </w:r>
      <w:proofErr w:type="spellEnd"/>
      <w:r>
        <w:rPr>
          <w:sz w:val="28"/>
          <w:szCs w:val="28"/>
        </w:rPr>
        <w:t xml:space="preserve"> Т.А.</w:t>
      </w:r>
      <w:r w:rsidRPr="00457F9B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настоящее постановление </w:t>
      </w:r>
      <w:r w:rsidRPr="00457F9B"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Геймановского</w:t>
      </w:r>
      <w:proofErr w:type="spellEnd"/>
      <w:r w:rsidRPr="00457F9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Тбилисского</w:t>
      </w:r>
      <w:r w:rsidRPr="00457F9B">
        <w:rPr>
          <w:sz w:val="28"/>
          <w:szCs w:val="28"/>
        </w:rPr>
        <w:t xml:space="preserve"> района в информационно-телекоммуникационной сети </w:t>
      </w:r>
      <w:proofErr w:type="gramStart"/>
      <w:r w:rsidRPr="00457F9B">
        <w:rPr>
          <w:sz w:val="28"/>
          <w:szCs w:val="28"/>
        </w:rPr>
        <w:t>«Интернет»</w:t>
      </w:r>
      <w:proofErr w:type="gramEnd"/>
      <w:r w:rsidRPr="00046A4B">
        <w:rPr>
          <w:sz w:val="28"/>
          <w:szCs w:val="28"/>
        </w:rPr>
        <w:t xml:space="preserve"> </w:t>
      </w:r>
      <w:r w:rsidRPr="00AC4B02">
        <w:rPr>
          <w:sz w:val="28"/>
          <w:szCs w:val="28"/>
        </w:rPr>
        <w:t>а также</w:t>
      </w:r>
      <w:r w:rsidRPr="00AC4B02">
        <w:t xml:space="preserve"> </w:t>
      </w:r>
      <w:r w:rsidRPr="00AC4B02">
        <w:rPr>
          <w:sz w:val="28"/>
          <w:szCs w:val="28"/>
        </w:rPr>
        <w:t>обеспечить опубликование настоящего постановления в сетевом издании «Информационный портал Тбилисского района».</w:t>
      </w:r>
    </w:p>
    <w:p w:rsidR="002D2359" w:rsidRDefault="002D2359" w:rsidP="00DB59FC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E0297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4E0297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  <w:r w:rsidRPr="004E0297">
        <w:rPr>
          <w:rFonts w:ascii="Times New Roman" w:hAnsi="Times New Roman"/>
          <w:sz w:val="28"/>
          <w:szCs w:val="28"/>
        </w:rPr>
        <w:t xml:space="preserve"> </w:t>
      </w:r>
    </w:p>
    <w:p w:rsidR="002D2359" w:rsidRPr="004E0297" w:rsidRDefault="002D2359" w:rsidP="00DB59FC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E02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1 января 2022 года</w:t>
      </w:r>
      <w:r w:rsidRPr="004E0297">
        <w:rPr>
          <w:rFonts w:ascii="Times New Roman" w:hAnsi="Times New Roman"/>
          <w:sz w:val="28"/>
          <w:szCs w:val="28"/>
        </w:rPr>
        <w:t>.</w:t>
      </w:r>
    </w:p>
    <w:bookmarkEnd w:id="1"/>
    <w:p w:rsidR="002D2359" w:rsidRDefault="002D2359" w:rsidP="00DB59FC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2359" w:rsidRDefault="002D2359" w:rsidP="00DB59FC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2359" w:rsidRDefault="002D2359" w:rsidP="00DB59FC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2359" w:rsidRDefault="002D2359" w:rsidP="00DB59F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D2359" w:rsidRDefault="002D2359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В.А.Гладкова</w:t>
      </w:r>
      <w:proofErr w:type="spellEnd"/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6652CE" w:rsidRPr="00457F9B" w:rsidTr="006F52B7">
        <w:tc>
          <w:tcPr>
            <w:tcW w:w="4500" w:type="dxa"/>
          </w:tcPr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2D2359" w:rsidRDefault="002D2359" w:rsidP="006F52B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2D2359" w:rsidRDefault="002D2359" w:rsidP="006F52B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6652CE" w:rsidRPr="00E247BA" w:rsidRDefault="00E247BA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  <w:r w:rsidR="00FD26E5">
              <w:rPr>
                <w:sz w:val="28"/>
                <w:szCs w:val="28"/>
              </w:rPr>
              <w:t>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постановлени</w:t>
            </w:r>
            <w:r w:rsidR="00E247BA">
              <w:rPr>
                <w:sz w:val="28"/>
                <w:szCs w:val="28"/>
              </w:rPr>
              <w:t>ем</w:t>
            </w:r>
            <w:r w:rsidRPr="00457F9B">
              <w:rPr>
                <w:sz w:val="28"/>
                <w:szCs w:val="28"/>
              </w:rPr>
              <w:t xml:space="preserve"> администрации</w:t>
            </w:r>
          </w:p>
          <w:p w:rsidR="006652CE" w:rsidRPr="00457F9B" w:rsidRDefault="002D2359" w:rsidP="006F52B7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Геймановского</w:t>
            </w:r>
            <w:proofErr w:type="spellEnd"/>
            <w:r w:rsidR="006652CE" w:rsidRPr="00457F9B">
              <w:rPr>
                <w:sz w:val="28"/>
                <w:szCs w:val="28"/>
              </w:rPr>
              <w:t xml:space="preserve"> сельского поселения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</w:t>
            </w:r>
            <w:r w:rsidRPr="00457F9B">
              <w:rPr>
                <w:sz w:val="28"/>
                <w:szCs w:val="28"/>
              </w:rPr>
              <w:t xml:space="preserve"> района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от _______________ № _____</w:t>
            </w:r>
          </w:p>
        </w:tc>
      </w:tr>
    </w:tbl>
    <w:p w:rsidR="006652CE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профилактики рисков причинения вреда (ущерба) охраняемым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законом ценностям пр</w:t>
      </w:r>
      <w:r>
        <w:rPr>
          <w:b/>
          <w:sz w:val="28"/>
          <w:szCs w:val="28"/>
        </w:rPr>
        <w:t xml:space="preserve">и осуществлении муниципального </w:t>
      </w:r>
      <w:r w:rsidRPr="00891AB6">
        <w:rPr>
          <w:b/>
          <w:sz w:val="28"/>
          <w:szCs w:val="28"/>
        </w:rPr>
        <w:t xml:space="preserve">контроля </w:t>
      </w:r>
    </w:p>
    <w:p w:rsidR="006652CE" w:rsidRPr="00891AB6" w:rsidRDefault="00BB1EF5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 w:rsidRPr="00567818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2D2359" w:rsidRPr="002D2359">
        <w:rPr>
          <w:b/>
          <w:sz w:val="28"/>
          <w:szCs w:val="28"/>
        </w:rPr>
        <w:t>Геймановского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Тбилисского района</w:t>
      </w:r>
      <w:r w:rsidRPr="00891AB6">
        <w:rPr>
          <w:b/>
          <w:color w:val="000000"/>
          <w:sz w:val="28"/>
          <w:szCs w:val="28"/>
        </w:rPr>
        <w:t xml:space="preserve"> </w:t>
      </w:r>
      <w:r w:rsidR="006652CE" w:rsidRPr="00891AB6">
        <w:rPr>
          <w:b/>
          <w:color w:val="000000"/>
          <w:sz w:val="28"/>
          <w:szCs w:val="28"/>
        </w:rPr>
        <w:t>на 2022 год</w:t>
      </w: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6652CE" w:rsidRPr="00457F9B" w:rsidRDefault="006652CE" w:rsidP="00646F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 ко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нтроля </w:t>
      </w:r>
      <w:r w:rsidR="00BB1EF5" w:rsidRPr="00BB1EF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2D2359" w:rsidRPr="002D2359">
        <w:rPr>
          <w:rFonts w:ascii="Times New Roman" w:hAnsi="Times New Roman" w:cs="Times New Roman"/>
          <w:b w:val="0"/>
          <w:sz w:val="28"/>
          <w:szCs w:val="28"/>
        </w:rPr>
        <w:t>Геймановского</w:t>
      </w:r>
      <w:proofErr w:type="spellEnd"/>
      <w:r w:rsidR="00BB1EF5" w:rsidRPr="00BB1EF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сельского поселения Тбилисского района</w:t>
      </w:r>
      <w:r w:rsidR="00BB1EF5" w:rsidRPr="00BB1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1EF5">
        <w:rPr>
          <w:rFonts w:ascii="Times New Roman" w:hAnsi="Times New Roman" w:cs="Times New Roman"/>
          <w:b w:val="0"/>
          <w:sz w:val="28"/>
          <w:szCs w:val="28"/>
        </w:rPr>
        <w:t>на 2022 год (далее - Программа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) разработана в целях 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и факторов, способных привести к нарушениям обязательных требований и (или) причинению вреда (ущерб</w:t>
      </w:r>
      <w:r w:rsidR="0076326D">
        <w:rPr>
          <w:rFonts w:ascii="Times New Roman" w:hAnsi="Times New Roman" w:cs="Times New Roman"/>
          <w:b w:val="0"/>
          <w:sz w:val="28"/>
          <w:szCs w:val="28"/>
        </w:rPr>
        <w:t xml:space="preserve">а) охраняемым законом ценностям,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создани</w:t>
      </w:r>
      <w:r w:rsidR="0076326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2. Программа разработана в соответствии с: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№248-ФЗ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 w:rsidRPr="00457F9B">
        <w:rPr>
          <w:rFonts w:eastAsia="Times New Roman"/>
          <w:color w:val="000000"/>
          <w:sz w:val="28"/>
          <w:szCs w:val="28"/>
        </w:rPr>
        <w:t>(далее- Ф</w:t>
      </w:r>
      <w:r w:rsidRPr="00457F9B">
        <w:rPr>
          <w:sz w:val="28"/>
          <w:szCs w:val="28"/>
        </w:rPr>
        <w:t xml:space="preserve">едеральный закон №248-ФЗ);   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457F9B">
        <w:rPr>
          <w:sz w:val="28"/>
          <w:szCs w:val="28"/>
        </w:rPr>
        <w:t>№247-ФЗ</w:t>
      </w:r>
      <w:r>
        <w:rPr>
          <w:sz w:val="28"/>
          <w:szCs w:val="28"/>
        </w:rPr>
        <w:t xml:space="preserve"> «</w:t>
      </w:r>
      <w:r w:rsidRPr="00457F9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 xml:space="preserve"> (далее – Федеральный закон №247-ФЗ);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   -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457F9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№990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>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3. Срок реализации Программы - 2022 год.</w:t>
      </w:r>
    </w:p>
    <w:p w:rsidR="006652CE" w:rsidRPr="00457F9B" w:rsidRDefault="006652CE" w:rsidP="006652CE">
      <w:pPr>
        <w:ind w:firstLine="567"/>
        <w:contextualSpacing/>
        <w:jc w:val="both"/>
        <w:rPr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91AB6">
        <w:rPr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r w:rsidR="00BB1EF5">
        <w:rPr>
          <w:b/>
          <w:sz w:val="28"/>
          <w:szCs w:val="28"/>
        </w:rPr>
        <w:t>д</w:t>
      </w:r>
      <w:r w:rsidRPr="00891AB6">
        <w:rPr>
          <w:b/>
          <w:sz w:val="28"/>
          <w:szCs w:val="28"/>
        </w:rPr>
        <w:t>еятельности, характеристика проблем, на решение которых направлена Программа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91A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Вид муниципального контроля: муниципальный контроль </w:t>
      </w:r>
      <w:r w:rsidR="00BB1EF5" w:rsidRPr="00BB1EF5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2D2359" w:rsidRPr="002D2359">
        <w:rPr>
          <w:sz w:val="28"/>
          <w:szCs w:val="28"/>
        </w:rPr>
        <w:t>Геймановского</w:t>
      </w:r>
      <w:proofErr w:type="spellEnd"/>
      <w:r w:rsidR="00BB1EF5" w:rsidRPr="00BB1EF5">
        <w:rPr>
          <w:bCs/>
          <w:color w:val="000000"/>
          <w:sz w:val="28"/>
          <w:szCs w:val="28"/>
        </w:rPr>
        <w:t xml:space="preserve"> сельского поселения Тбилисского района</w:t>
      </w:r>
      <w:r>
        <w:rPr>
          <w:sz w:val="28"/>
          <w:szCs w:val="28"/>
        </w:rPr>
        <w:t>.</w:t>
      </w:r>
    </w:p>
    <w:p w:rsidR="00BB1EF5" w:rsidRPr="00BB1EF5" w:rsidRDefault="006652CE" w:rsidP="00BB1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Предметом муниципального контроля на автомобильном транспорте, </w:t>
      </w:r>
      <w:r w:rsidR="00BB1EF5" w:rsidRPr="00BB1EF5">
        <w:rPr>
          <w:rFonts w:ascii="Times New Roman" w:hAnsi="Times New Roman" w:cs="Times New Roman"/>
          <w:sz w:val="28"/>
          <w:szCs w:val="24"/>
        </w:rPr>
        <w:lastRenderedPageBreak/>
        <w:t xml:space="preserve">городском наземном электрическом транспорте и в дорожном хозяйстве в границах населенных пунктов поселения на территории </w:t>
      </w:r>
      <w:proofErr w:type="spellStart"/>
      <w:r w:rsidR="002D2359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BB1EF5" w:rsidRPr="00BB1EF5">
        <w:rPr>
          <w:rFonts w:ascii="Times New Roman" w:hAnsi="Times New Roman" w:cs="Times New Roman"/>
          <w:sz w:val="28"/>
          <w:szCs w:val="24"/>
        </w:rPr>
        <w:t xml:space="preserve"> сельского поселения является соблюдение гражданами и организациями (далее – контролируемые лица) обязательных требований:</w:t>
      </w:r>
    </w:p>
    <w:p w:rsidR="00BB1EF5" w:rsidRPr="00BB1EF5" w:rsidRDefault="00BB1EF5" w:rsidP="00BB1EF5">
      <w:pPr>
        <w:ind w:left="-57" w:right="-1" w:firstLine="709"/>
        <w:jc w:val="both"/>
        <w:rPr>
          <w:sz w:val="28"/>
        </w:rPr>
      </w:pPr>
      <w:r w:rsidRPr="00BB1EF5">
        <w:rPr>
          <w:sz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BB1EF5" w:rsidRPr="00BB1EF5" w:rsidRDefault="00BB1EF5" w:rsidP="00BB1EF5">
      <w:pPr>
        <w:ind w:right="-1" w:firstLine="709"/>
        <w:jc w:val="both"/>
        <w:rPr>
          <w:sz w:val="28"/>
        </w:rPr>
      </w:pPr>
      <w:r w:rsidRPr="00BB1EF5">
        <w:rPr>
          <w:sz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1EF5" w:rsidRPr="00BB1EF5" w:rsidRDefault="00BB1EF5" w:rsidP="00BB1EF5">
      <w:pPr>
        <w:ind w:right="-1" w:firstLine="709"/>
        <w:jc w:val="both"/>
        <w:rPr>
          <w:sz w:val="28"/>
        </w:rPr>
      </w:pPr>
      <w:r w:rsidRPr="00BB1EF5">
        <w:rPr>
          <w:sz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6652CE" w:rsidRPr="00457F9B" w:rsidRDefault="00BB1EF5" w:rsidP="00BB1EF5">
      <w:pPr>
        <w:ind w:firstLine="709"/>
        <w:contextualSpacing/>
        <w:jc w:val="both"/>
        <w:rPr>
          <w:sz w:val="28"/>
          <w:szCs w:val="28"/>
        </w:rPr>
      </w:pPr>
      <w:r w:rsidRPr="00BB1EF5">
        <w:rPr>
          <w:sz w:val="28"/>
        </w:rPr>
        <w:t>Предметом муниципального контроля является также исполнение решений, принимаемых по результатам контрольных мероприятий</w:t>
      </w:r>
      <w:r w:rsidR="006652CE" w:rsidRPr="00457F9B">
        <w:rPr>
          <w:sz w:val="28"/>
          <w:szCs w:val="28"/>
        </w:rPr>
        <w:t>.</w:t>
      </w:r>
    </w:p>
    <w:p w:rsidR="00726B2B" w:rsidRPr="00726B2B" w:rsidRDefault="006652CE" w:rsidP="00BB1E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76BA"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</w:t>
      </w:r>
      <w:r w:rsidR="00726B2B" w:rsidRPr="00726B2B">
        <w:rPr>
          <w:sz w:val="28"/>
          <w:szCs w:val="28"/>
        </w:rPr>
        <w:t>В рамках профилактики</w:t>
      </w:r>
      <w:r w:rsidR="00726B2B" w:rsidRPr="00726B2B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726B2B" w:rsidRPr="00726B2B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B2B" w:rsidRPr="00726B2B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B2B" w:rsidRPr="00726B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6B2B" w:rsidRPr="00726B2B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52CE" w:rsidRDefault="006652CE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1EF5">
        <w:rPr>
          <w:sz w:val="28"/>
          <w:szCs w:val="28"/>
        </w:rPr>
        <w:t>4</w:t>
      </w:r>
      <w:r w:rsidRPr="00457F9B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52CE" w:rsidRPr="00457F9B" w:rsidRDefault="006652CE" w:rsidP="006652C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457F9B">
        <w:rPr>
          <w:sz w:val="28"/>
          <w:szCs w:val="28"/>
        </w:rPr>
        <w:t>. Цели и задачи реализации Программы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.1. Целями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5) снижение административной нагрузки на контролируемых лиц;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.2. Задачами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с</w:t>
      </w:r>
      <w:r w:rsidRPr="00726B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2CE" w:rsidRPr="00457F9B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F9B">
        <w:rPr>
          <w:sz w:val="28"/>
          <w:szCs w:val="28"/>
        </w:rPr>
        <w:t>1. В соответствии со статьей 44 Федерального закона 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>
        <w:rPr>
          <w:sz w:val="28"/>
          <w:szCs w:val="28"/>
        </w:rPr>
        <w:t>Федерации»</w:t>
      </w:r>
      <w:r w:rsidRPr="00457F9B">
        <w:rPr>
          <w:sz w:val="28"/>
          <w:szCs w:val="28"/>
        </w:rPr>
        <w:t xml:space="preserve"> в 2022 году будут проводиться следующие профилактические мероприятия: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а) информирование;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б) обобщение правоприменительной практики;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в) объявление предостережения;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г) консультирование;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д) профилактический визит.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457F9B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6652CE" w:rsidRDefault="006652CE" w:rsidP="006652CE">
      <w:pPr>
        <w:jc w:val="right"/>
        <w:rPr>
          <w:bCs/>
          <w:sz w:val="28"/>
          <w:szCs w:val="28"/>
        </w:rPr>
      </w:pPr>
      <w:r w:rsidRPr="00457F9B">
        <w:rPr>
          <w:bCs/>
          <w:sz w:val="28"/>
          <w:szCs w:val="28"/>
        </w:rPr>
        <w:t>Таблица1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lastRenderedPageBreak/>
        <w:t>сроки (периодичность) их проведения</w:t>
      </w:r>
    </w:p>
    <w:p w:rsidR="006652CE" w:rsidRPr="00457F9B" w:rsidRDefault="006652CE" w:rsidP="006652CE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6652CE" w:rsidRPr="00646FF9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46FF9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ind w:firstLine="36"/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Должностные лица, ответственные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за реализацию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bCs/>
                <w:sz w:val="22"/>
              </w:rPr>
              <w:t>Сроки</w:t>
            </w:r>
          </w:p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52CE" w:rsidRPr="00933691" w:rsidTr="006F52B7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ind w:firstLine="33"/>
              <w:jc w:val="both"/>
            </w:pPr>
            <w:r w:rsidRPr="00933691"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необходимости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в течение года</w:t>
            </w:r>
          </w:p>
        </w:tc>
      </w:tr>
      <w:tr w:rsidR="006652CE" w:rsidRPr="00933691" w:rsidTr="006F52B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</w:t>
            </w:r>
            <w:r w:rsidRPr="00646FF9">
              <w:rPr>
                <w:sz w:val="22"/>
              </w:rPr>
              <w:t xml:space="preserve">администрации </w:t>
            </w:r>
            <w:r w:rsidRPr="00933691"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поступления</w:t>
            </w:r>
          </w:p>
        </w:tc>
      </w:tr>
      <w:tr w:rsidR="006652CE" w:rsidRPr="00933691" w:rsidTr="006F52B7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обновления</w:t>
            </w:r>
          </w:p>
        </w:tc>
      </w:tr>
      <w:tr w:rsidR="006652CE" w:rsidRPr="00933691" w:rsidTr="006F52B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4"/>
              <w:jc w:val="both"/>
            </w:pPr>
            <w:r w:rsidRPr="00933691"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В срок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до 15 марта года, следующего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за отчетным</w:t>
            </w:r>
          </w:p>
        </w:tc>
      </w:tr>
      <w:tr w:rsidR="006652CE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center"/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jc w:val="both"/>
            </w:pPr>
            <w:r w:rsidRPr="0093369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ind w:firstLine="34"/>
              <w:jc w:val="both"/>
            </w:pPr>
            <w:r w:rsidRPr="00933691"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646FF9" w:rsidRDefault="00646FF9" w:rsidP="00646FF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646FF9" w:rsidRPr="00646FF9" w:rsidRDefault="00646FF9" w:rsidP="00646FF9">
            <w:pPr>
              <w:autoSpaceDE w:val="0"/>
              <w:autoSpaceDN w:val="0"/>
              <w:adjustRightInd w:val="0"/>
              <w:jc w:val="both"/>
            </w:pPr>
            <w:r w:rsidRPr="00646FF9">
              <w:t xml:space="preserve">Консультирование осуществляется в устной или </w:t>
            </w:r>
            <w:r w:rsidRPr="00646FF9">
              <w:lastRenderedPageBreak/>
              <w:t>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lastRenderedPageBreak/>
              <w:t xml:space="preserve">Специалист администрации, к должностным </w:t>
            </w:r>
            <w:r w:rsidRPr="00646FF9">
              <w:rPr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691">
              <w:lastRenderedPageBreak/>
              <w:t>В течение года (при наличии оснований)</w:t>
            </w:r>
          </w:p>
        </w:tc>
      </w:tr>
      <w:tr w:rsidR="00646FF9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  <w:r w:rsidRPr="00933691">
              <w:t xml:space="preserve"> (при наличии оснований)</w:t>
            </w:r>
          </w:p>
        </w:tc>
      </w:tr>
    </w:tbl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652CE" w:rsidRDefault="006652CE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Pr="00457F9B">
        <w:rPr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5.</w:t>
      </w:r>
      <w:r w:rsidRPr="00457F9B">
        <w:rPr>
          <w:rStyle w:val="ad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 w:rsidRPr="00457F9B">
        <w:rPr>
          <w:rStyle w:val="ad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pacing w:val="-4"/>
          <w:sz w:val="28"/>
          <w:szCs w:val="28"/>
        </w:rPr>
      </w:pPr>
      <w:r w:rsidRPr="00457F9B">
        <w:rPr>
          <w:rStyle w:val="ad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6652CE" w:rsidRPr="00457F9B" w:rsidRDefault="006652CE" w:rsidP="00646FF9">
      <w:pPr>
        <w:ind w:firstLine="851"/>
        <w:jc w:val="both"/>
        <w:rPr>
          <w:color w:val="FF0000"/>
          <w:sz w:val="28"/>
          <w:szCs w:val="28"/>
          <w:lang w:eastAsia="en-US"/>
        </w:rPr>
      </w:pPr>
      <w:r w:rsidRPr="00457F9B">
        <w:rPr>
          <w:rStyle w:val="ad"/>
          <w:i w:val="0"/>
          <w:sz w:val="28"/>
          <w:szCs w:val="28"/>
        </w:rPr>
        <w:lastRenderedPageBreak/>
        <w:t>в)</w:t>
      </w:r>
      <w:r w:rsidR="00646FF9">
        <w:rPr>
          <w:rStyle w:val="ad"/>
          <w:i w:val="0"/>
          <w:sz w:val="28"/>
          <w:szCs w:val="28"/>
        </w:rPr>
        <w:t xml:space="preserve"> </w:t>
      </w:r>
      <w:r w:rsidRPr="00457F9B">
        <w:rPr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 w:rsidRPr="00457F9B">
        <w:rPr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  <w:lang w:eastAsia="en-US"/>
        </w:rPr>
      </w:pPr>
      <w:r w:rsidRPr="00457F9B">
        <w:rPr>
          <w:spacing w:val="-4"/>
          <w:sz w:val="28"/>
          <w:szCs w:val="28"/>
          <w:lang w:eastAsia="en-US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</w:t>
      </w:r>
      <w:r>
        <w:rPr>
          <w:spacing w:val="-4"/>
          <w:sz w:val="28"/>
          <w:szCs w:val="28"/>
          <w:lang w:eastAsia="en-US"/>
        </w:rPr>
        <w:t>2021 года</w:t>
      </w:r>
      <w:r w:rsidRPr="00457F9B">
        <w:rPr>
          <w:spacing w:val="-4"/>
          <w:sz w:val="28"/>
          <w:szCs w:val="28"/>
          <w:lang w:eastAsia="en-US"/>
        </w:rPr>
        <w:t xml:space="preserve">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57F9B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proofErr w:type="spellStart"/>
      <w:r w:rsidR="002D2359">
        <w:rPr>
          <w:sz w:val="28"/>
          <w:szCs w:val="28"/>
        </w:rPr>
        <w:t>Геймановского</w:t>
      </w:r>
      <w:proofErr w:type="spellEnd"/>
      <w:r w:rsidR="00646FF9">
        <w:rPr>
          <w:sz w:val="28"/>
          <w:szCs w:val="28"/>
          <w:lang w:eastAsia="en-US"/>
        </w:rPr>
        <w:t xml:space="preserve"> сельского поселения Тбилисского района</w:t>
      </w:r>
      <w:r w:rsidRPr="00457F9B">
        <w:rPr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 w:rsidRPr="00457F9B">
        <w:rPr>
          <w:sz w:val="28"/>
          <w:szCs w:val="28"/>
        </w:rPr>
        <w:t>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</w:t>
      </w:r>
      <w:r w:rsidRPr="00457F9B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2D2359" w:rsidRDefault="002D2359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D2359" w:rsidRDefault="002D2359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В.А.Гладкова</w:t>
      </w:r>
      <w:proofErr w:type="spellEnd"/>
    </w:p>
    <w:p w:rsidR="00B170D7" w:rsidRDefault="00B170D7" w:rsidP="00C9292D">
      <w:pPr>
        <w:pStyle w:val="11"/>
        <w:ind w:firstLine="5387"/>
        <w:jc w:val="center"/>
        <w:rPr>
          <w:rFonts w:ascii="Times New Roman" w:hAnsi="Times New Roman"/>
          <w:sz w:val="28"/>
          <w:szCs w:val="28"/>
        </w:rPr>
      </w:pPr>
    </w:p>
    <w:sectPr w:rsidR="00B170D7" w:rsidSect="002D2359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C4"/>
    <w:rsid w:val="00014284"/>
    <w:rsid w:val="00044DBF"/>
    <w:rsid w:val="0007539B"/>
    <w:rsid w:val="000A4B9F"/>
    <w:rsid w:val="000E439D"/>
    <w:rsid w:val="000E75A8"/>
    <w:rsid w:val="000F6DD4"/>
    <w:rsid w:val="00102458"/>
    <w:rsid w:val="00104E21"/>
    <w:rsid w:val="001053CC"/>
    <w:rsid w:val="00136A5D"/>
    <w:rsid w:val="001663FB"/>
    <w:rsid w:val="00173129"/>
    <w:rsid w:val="00212CDA"/>
    <w:rsid w:val="002220F8"/>
    <w:rsid w:val="002A22A5"/>
    <w:rsid w:val="002B3B88"/>
    <w:rsid w:val="002D2359"/>
    <w:rsid w:val="003032DE"/>
    <w:rsid w:val="003202F5"/>
    <w:rsid w:val="0032734F"/>
    <w:rsid w:val="0038121C"/>
    <w:rsid w:val="003B4086"/>
    <w:rsid w:val="003B56D6"/>
    <w:rsid w:val="003D03CD"/>
    <w:rsid w:val="003D737E"/>
    <w:rsid w:val="003F74D1"/>
    <w:rsid w:val="0040203C"/>
    <w:rsid w:val="00404C61"/>
    <w:rsid w:val="00434889"/>
    <w:rsid w:val="00442461"/>
    <w:rsid w:val="00446546"/>
    <w:rsid w:val="004737DE"/>
    <w:rsid w:val="00484F33"/>
    <w:rsid w:val="004A074C"/>
    <w:rsid w:val="004A53E5"/>
    <w:rsid w:val="004D0FDA"/>
    <w:rsid w:val="004E0297"/>
    <w:rsid w:val="004F1B34"/>
    <w:rsid w:val="004F6E51"/>
    <w:rsid w:val="00602666"/>
    <w:rsid w:val="00646FF9"/>
    <w:rsid w:val="006652CE"/>
    <w:rsid w:val="0067165C"/>
    <w:rsid w:val="006967C5"/>
    <w:rsid w:val="006F03CB"/>
    <w:rsid w:val="00712EF4"/>
    <w:rsid w:val="00726B2B"/>
    <w:rsid w:val="0075358B"/>
    <w:rsid w:val="00755ED1"/>
    <w:rsid w:val="00761564"/>
    <w:rsid w:val="0076326D"/>
    <w:rsid w:val="007B4E36"/>
    <w:rsid w:val="007C772D"/>
    <w:rsid w:val="00801811"/>
    <w:rsid w:val="008311B8"/>
    <w:rsid w:val="00846630"/>
    <w:rsid w:val="008E053B"/>
    <w:rsid w:val="0090023D"/>
    <w:rsid w:val="0090745C"/>
    <w:rsid w:val="0092038B"/>
    <w:rsid w:val="00923893"/>
    <w:rsid w:val="00932AB0"/>
    <w:rsid w:val="009548A8"/>
    <w:rsid w:val="00971396"/>
    <w:rsid w:val="00986D00"/>
    <w:rsid w:val="009D5998"/>
    <w:rsid w:val="009E6DDF"/>
    <w:rsid w:val="00A13A06"/>
    <w:rsid w:val="00A45C21"/>
    <w:rsid w:val="00AA7967"/>
    <w:rsid w:val="00AB4F03"/>
    <w:rsid w:val="00AC6BC3"/>
    <w:rsid w:val="00AD708D"/>
    <w:rsid w:val="00B170D7"/>
    <w:rsid w:val="00BB1EF5"/>
    <w:rsid w:val="00BE2C5A"/>
    <w:rsid w:val="00BF3BF6"/>
    <w:rsid w:val="00C134DE"/>
    <w:rsid w:val="00C260C4"/>
    <w:rsid w:val="00C70B60"/>
    <w:rsid w:val="00C9292D"/>
    <w:rsid w:val="00CC2AEE"/>
    <w:rsid w:val="00CD2C3F"/>
    <w:rsid w:val="00D01FD9"/>
    <w:rsid w:val="00D116D2"/>
    <w:rsid w:val="00D15AC5"/>
    <w:rsid w:val="00D73B7E"/>
    <w:rsid w:val="00D82C4C"/>
    <w:rsid w:val="00DB7023"/>
    <w:rsid w:val="00E17E2F"/>
    <w:rsid w:val="00E247BA"/>
    <w:rsid w:val="00E668D6"/>
    <w:rsid w:val="00EA2875"/>
    <w:rsid w:val="00EA4ABB"/>
    <w:rsid w:val="00EA52D1"/>
    <w:rsid w:val="00EC501C"/>
    <w:rsid w:val="00EC5E42"/>
    <w:rsid w:val="00ED16AA"/>
    <w:rsid w:val="00ED2AC4"/>
    <w:rsid w:val="00F20EEA"/>
    <w:rsid w:val="00F87342"/>
    <w:rsid w:val="00FA4869"/>
    <w:rsid w:val="00FC5CBC"/>
    <w:rsid w:val="00FD26E5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A0D935"/>
  <w15:docId w15:val="{25CF62E7-4C77-43DB-B576-465BA61C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5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652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6652CE"/>
    <w:rPr>
      <w:b/>
      <w:color w:val="000080"/>
    </w:rPr>
  </w:style>
  <w:style w:type="character" w:styleId="ad">
    <w:name w:val="Emphasis"/>
    <w:qFormat/>
    <w:locked/>
    <w:rsid w:val="006652CE"/>
    <w:rPr>
      <w:i/>
      <w:iCs/>
    </w:rPr>
  </w:style>
  <w:style w:type="paragraph" w:customStyle="1" w:styleId="Default">
    <w:name w:val="Default"/>
    <w:rsid w:val="006652CE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6652C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1"/>
    <w:rsid w:val="00646F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646FF9"/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uiPriority w:val="99"/>
    <w:locked/>
    <w:rsid w:val="00BB1EF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Татьяна</cp:lastModifiedBy>
  <cp:revision>10</cp:revision>
  <cp:lastPrinted>2022-01-27T12:03:00Z</cp:lastPrinted>
  <dcterms:created xsi:type="dcterms:W3CDTF">2021-12-29T07:33:00Z</dcterms:created>
  <dcterms:modified xsi:type="dcterms:W3CDTF">2022-02-10T11:50:00Z</dcterms:modified>
</cp:coreProperties>
</file>